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color w:val="555555"/>
          <w:sz w:val="18"/>
          <w:szCs w:val="18"/>
        </w:rPr>
        <w:t xml:space="preserve">Stichting Multicultureel Viva Venezuela (MVV) · Tilburg, Países Bajos · KvK 18064999 · RSIN 810135048</w:t>
      </w:r>
    </w:p>
    <w:p>
      <w:pPr>
        <w:pStyle w:val="Heading1"/>
        <w:spacing w:after="120"/>
      </w:pPr>
      <w:r>
        <w:rPr>
          <w:b/>
          <w:bCs/>
          <w:sz w:val="40"/>
          <w:szCs w:val="40"/>
        </w:rPr>
        <w:t xml:space="preserve">Política de Donaciones</w:t>
      </w:r>
    </w:p>
    <w:p>
      <w:pPr>
        <w:spacing w:after="360"/>
      </w:pPr>
      <w:r>
        <w:rPr>
          <w:i/>
          <w:iCs/>
          <w:color w:val="555555"/>
          <w:sz w:val="20"/>
          <w:szCs w:val="20"/>
        </w:rPr>
        <w:t xml:space="preserve">Documento institucional — versión 1.0 (borrador) · aplica a la campaña de emergencia por los terremotos del 24 de junio de 2026 y a la actividad general de la fundación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1. Objeto</w:t>
      </w:r>
    </w:p>
    <w:p>
      <w:pPr>
        <w:spacing w:after="120"/>
      </w:pPr>
      <w:r>
        <w:rPr>
          <w:sz w:val="22"/>
          <w:szCs w:val="22"/>
        </w:rPr>
        <w:t xml:space="preserve">Esta política establece los criterios con los que Stichting Multicultureel Viva Venezuela (en adelante, «la fundación» o «MVV») acepta, gestiona, documenta y rinde cuentas de las donaciones en especie y en dinero que recibe de particulares, empresas e instituciones.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2. Principios generales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Toda donación se destina exclusivamente a los fines estatutarios y humanitarios de la fundación.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 ayuda se distribuye según la necesidad, con imparcialidad y sin condicionamiento político, religioso o comercial.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Ninguna donación otorga al donante influencia sobre las decisiones operativas o institucionales de la fundación.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 fundación documenta la trazabilidad de las donaciones: recepción, almacenamiento, envío y entrega, en la medida en que las condiciones en terreno lo permitan.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3. Donaciones en especie — qué aceptamos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Alimentos no perecederos, sellados y dentro de su fecha de consumo.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Agua potable y sistemas de purificación.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Medicamentos nuevos, sellados y con fecha de vencimiento vigente (mínimo 12 meses), y material médico-quirúrgico nuevo.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Artículos de higiene personal y de limpieza, nuevos.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Material de abrigo y refugio: mantas, carpas, láminas, linternas, pilas.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Productos para bebés y adultos mayores: pañales, fórmulas selladas, suplementos.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4. Qué no aceptamos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Ropa usada, alimentos perecederos o abiertos, medicamentos usados, vencidos o sin empaque original.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Artículos que no correspondan a las necesidades comunicadas por los aliados en terreno.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Donaciones condicionadas a fines publicitarios, políticos o religiosos, o a la distribución a grupos específicos por criterios no humanitarios.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Fondos o bienes de origen ilícito, dudoso o no verificable, o provenientes de entidades sancionadas.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5. Donaciones monetarias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Se reciben únicamente a través de la cuenta bancaria oficial de la fundación [IBAN — completar] o de los canales de pago publicados en la web oficial.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Ningún voluntario, coordinador o miembro de la junta está autorizado a recibir dinero en efectivo a título personal en nombre de la fundación.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Las donaciones monetarias se destinan a: adquisición de suministros priorizados, costos logísticos de transporte y envío, y costos operativos directos de la campaña. El porcentaje destinado a costos operativos se informa en los reportes periódicos.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6. Donaciones y alianzas empresariales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 fundación acepta aportes de empresas en especie, en dinero o en servicios (logística, almacenamiento, transporte), conforme a esta política.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El reconocimiento público del aliado (logotipo, mención) es posible previo acuerdo escrito, sin que ello implique aval comercial de la fundación a productos o servicios del aliado.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 fundación se reserva el derecho de declinar aportes de empresas cuya actividad, reputación o conducta sea incompatible con los principios humanitarios y con los fines estatutarios.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Sobre el tratamiento fiscal: la fundación informará a cada aliado sobre el régimen aplicable a su aporte. [Ajustar según el estado de la solicitud ANBI.]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7. Devoluciones y donaciones no utilizables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Si una donación en especie no cumple los criterios de aceptación, se ofrecerá al donante su devolución; de no ser reclamada en un plazo de 14 días, la fundación podrá destinarla a otra organización benéfica o desecharla de forma responsable.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Si por causas de fuerza mayor una donación monetaria no puede aplicarse al fin comunicado, se destinará a fines humanitarios equivalentes de la misma campaña, informando de ello en el reporte correspondiente.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8. Transparencia y rendición de cuentas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La fundación publica en su web los identificadores oficiales (KvK 18064999, RSIN 810135048) y reportes periódicos de la campaña.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Los registros de recepción y envío se conservan durante al menos 7 años conforme a la normativa neerlandesa.</w:t>
      </w:r>
    </w:p>
    <w:p>
      <w:pPr>
        <w:pStyle w:val="Heading2"/>
        <w:spacing w:after="120" w:before="240"/>
      </w:pPr>
      <w:r>
        <w:rPr>
          <w:b/>
          <w:bCs/>
          <w:sz w:val="28"/>
          <w:szCs w:val="28"/>
        </w:rPr>
        <w:t xml:space="preserve">9. Aprobación y vigencia</w:t>
      </w:r>
    </w:p>
    <w:p>
      <w:pPr>
        <w:spacing w:after="120"/>
      </w:pPr>
      <w:r>
        <w:rPr>
          <w:sz w:val="22"/>
          <w:szCs w:val="22"/>
        </w:rPr>
        <w:t xml:space="preserve">Esta política fue aprobada por la Junta Directiva el [fecha] y entra en vigor desde su publicación en la web oficial. Será revisada al menos una vez al año o cuando las circunstancias lo requieran.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2026-07-03T17:13:31.387Z</dcterms:created>
  <dcterms:modified xsi:type="dcterms:W3CDTF">2026-07-03T17:13:31.387Z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